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76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8E600D" w:rsidRPr="00D85400" w:rsidTr="008F77D0">
        <w:trPr>
          <w:cantSplit/>
          <w:trHeight w:val="1419"/>
        </w:trPr>
        <w:tc>
          <w:tcPr>
            <w:tcW w:w="4536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9465AB" w:rsidRDefault="008E600D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Nowej Soli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8E600D" w:rsidRPr="00D85400" w:rsidRDefault="008E600D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8E600D" w:rsidRPr="00D85400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8E600D" w:rsidRPr="00FD3A76" w:rsidRDefault="008E600D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8E600D" w:rsidRPr="00FD3A76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8E600D" w:rsidRPr="00D85400" w:rsidRDefault="008E600D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8E600D" w:rsidRPr="00D85400" w:rsidTr="00BD2DBE">
        <w:trPr>
          <w:cantSplit/>
          <w:trHeight w:val="330"/>
        </w:trPr>
        <w:tc>
          <w:tcPr>
            <w:tcW w:w="4536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2752BB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 xml:space="preserve">Termin przekazania: </w:t>
            </w:r>
          </w:p>
          <w:p w:rsidR="008E600D" w:rsidRPr="008E600D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bCs/>
                <w:sz w:val="20"/>
              </w:rPr>
            </w:pPr>
            <w:r w:rsidRPr="002752BB">
              <w:rPr>
                <w:rFonts w:ascii="Arial" w:hAnsi="Arial" w:cs="Arial"/>
                <w:bCs/>
                <w:sz w:val="20"/>
              </w:rPr>
              <w:t>zgodnie z PBSSP</w:t>
            </w:r>
          </w:p>
          <w:p w:rsidR="008E600D" w:rsidRPr="00D85400" w:rsidRDefault="008E600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E600D" w:rsidRPr="00D85400" w:rsidTr="008E600D">
        <w:trPr>
          <w:cantSplit/>
          <w:trHeight w:val="324"/>
        </w:trPr>
        <w:tc>
          <w:tcPr>
            <w:tcW w:w="453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600D" w:rsidRPr="00D85400" w:rsidRDefault="008E600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8E600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8E600D" w:rsidRPr="00D85400" w:rsidRDefault="008E600D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I półrocze 2023 r.</w:t>
                  </w:r>
                </w:p>
              </w:tc>
            </w:tr>
          </w:tbl>
          <w:p w:rsidR="008E600D" w:rsidRPr="00D85400" w:rsidRDefault="008E600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600D" w:rsidRPr="00D85400" w:rsidRDefault="008E600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E600D" w:rsidRPr="00D85400" w:rsidTr="002A6215">
        <w:trPr>
          <w:cantSplit/>
          <w:trHeight w:val="663"/>
        </w:trPr>
        <w:tc>
          <w:tcPr>
            <w:tcW w:w="2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27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600D" w:rsidRPr="002752BB" w:rsidRDefault="008E600D" w:rsidP="008E600D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600D" w:rsidRPr="00D85400" w:rsidRDefault="008E600D" w:rsidP="008E600D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8E600D" w:rsidRPr="00D85400" w:rsidRDefault="008E600D" w:rsidP="008E600D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Default="00966D0E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5041" w:type="pct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69"/>
        <w:gridCol w:w="297"/>
        <w:gridCol w:w="545"/>
        <w:gridCol w:w="552"/>
        <w:gridCol w:w="700"/>
        <w:gridCol w:w="700"/>
        <w:gridCol w:w="419"/>
        <w:gridCol w:w="423"/>
        <w:gridCol w:w="484"/>
        <w:gridCol w:w="426"/>
        <w:gridCol w:w="419"/>
        <w:gridCol w:w="419"/>
        <w:gridCol w:w="419"/>
        <w:gridCol w:w="423"/>
        <w:gridCol w:w="419"/>
        <w:gridCol w:w="468"/>
        <w:gridCol w:w="545"/>
        <w:gridCol w:w="564"/>
        <w:gridCol w:w="416"/>
        <w:gridCol w:w="416"/>
        <w:gridCol w:w="419"/>
        <w:gridCol w:w="416"/>
        <w:gridCol w:w="419"/>
        <w:gridCol w:w="416"/>
        <w:gridCol w:w="416"/>
        <w:gridCol w:w="419"/>
        <w:gridCol w:w="416"/>
        <w:gridCol w:w="419"/>
        <w:gridCol w:w="416"/>
        <w:gridCol w:w="419"/>
        <w:gridCol w:w="555"/>
        <w:gridCol w:w="694"/>
        <w:gridCol w:w="555"/>
        <w:gridCol w:w="526"/>
      </w:tblGrid>
      <w:tr w:rsidR="00AB5201" w:rsidRPr="00D85400" w:rsidTr="00993B94">
        <w:trPr>
          <w:cantSplit/>
          <w:trHeight w:val="3980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201" w:rsidRPr="00BC0646" w:rsidRDefault="00AB5201" w:rsidP="00EB1EB9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AB5201" w:rsidRPr="00457B3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1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43322A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3322A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43322A">
              <w:rPr>
                <w:rFonts w:ascii="Arial" w:hAnsi="Arial" w:cs="Arial"/>
                <w:sz w:val="10"/>
                <w:szCs w:val="10"/>
              </w:rPr>
              <w:t>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usp na czas określony lub nieokreślony czy też wykonujących czynności orzecznicze na mocy ustawy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214A0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2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1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9214A0" w:rsidRDefault="00AB5201" w:rsidP="00EB1EB9">
            <w:pPr>
              <w:ind w:left="113" w:right="113"/>
              <w:jc w:val="center"/>
              <w:rPr>
                <w:rFonts w:ascii="Arial" w:hAnsi="Arial" w:cs="Arial"/>
                <w:sz w:val="9"/>
                <w:szCs w:val="9"/>
              </w:rPr>
            </w:pPr>
            <w:r w:rsidRPr="009214A0">
              <w:rPr>
                <w:rFonts w:ascii="Arial" w:hAnsi="Arial" w:cs="Arial"/>
                <w:sz w:val="9"/>
                <w:szCs w:val="9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7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201" w:rsidRPr="00BC0646" w:rsidRDefault="00AB5201" w:rsidP="00EB1EB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AB5201" w:rsidRPr="00D85400" w:rsidTr="00993B94">
        <w:trPr>
          <w:trHeight w:val="135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D85400" w:rsidRDefault="00AB5201" w:rsidP="00EB1EB9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01" w:rsidRPr="00936182" w:rsidRDefault="00AB5201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</w:t>
            </w:r>
          </w:p>
        </w:tc>
      </w:tr>
      <w:tr w:rsidR="00993B94" w:rsidRPr="00D85400" w:rsidTr="00993B94">
        <w:trPr>
          <w:trHeight w:val="397"/>
        </w:trPr>
        <w:tc>
          <w:tcPr>
            <w:tcW w:w="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B94" w:rsidRPr="00A5634A" w:rsidRDefault="00993B94" w:rsidP="00EB1EB9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pacing w:val="-4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A67634" w:rsidRDefault="00993B94" w:rsidP="00EB1EB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4,940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4,940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3,690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0,930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0,930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227,000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61,520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4,940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B94" w:rsidRPr="00993B94" w:rsidRDefault="00993B9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B94">
              <w:rPr>
                <w:rFonts w:ascii="Arial" w:hAnsi="Arial" w:cs="Arial"/>
                <w:color w:val="000000"/>
                <w:sz w:val="10"/>
                <w:szCs w:val="10"/>
              </w:rPr>
              <w:t>4,940</w:t>
            </w:r>
          </w:p>
        </w:tc>
      </w:tr>
    </w:tbl>
    <w:p w:rsidR="00F70C78" w:rsidRDefault="00F70C78" w:rsidP="00F70C78">
      <w:pPr>
        <w:spacing w:before="40" w:after="40"/>
        <w:outlineLvl w:val="0"/>
        <w:rPr>
          <w:rFonts w:ascii="Arial" w:hAnsi="Arial" w:cs="Arial"/>
          <w:b/>
          <w:bCs/>
        </w:rPr>
      </w:pPr>
    </w:p>
    <w:p w:rsidR="00F70C78" w:rsidRPr="00AC6D93" w:rsidRDefault="00F70C78" w:rsidP="00F70C78">
      <w:pPr>
        <w:spacing w:before="40" w:after="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 w:type="page"/>
      </w:r>
      <w:r w:rsidRPr="00AC6D93">
        <w:rPr>
          <w:rFonts w:ascii="Arial" w:hAnsi="Arial" w:cs="Arial"/>
          <w:b/>
          <w:bCs/>
        </w:rPr>
        <w:lastRenderedPageBreak/>
        <w:t xml:space="preserve">Dział </w:t>
      </w:r>
      <w:r>
        <w:rPr>
          <w:rFonts w:ascii="Arial" w:hAnsi="Arial" w:cs="Arial"/>
          <w:b/>
          <w:bCs/>
        </w:rPr>
        <w:t>5</w:t>
      </w:r>
      <w:r w:rsidRPr="00AC6D93">
        <w:rPr>
          <w:rFonts w:ascii="Arial" w:hAnsi="Arial" w:cs="Arial"/>
          <w:b/>
          <w:bCs/>
        </w:rPr>
        <w:t>.1.a. Liczba sesji</w:t>
      </w:r>
    </w:p>
    <w:tbl>
      <w:tblPr>
        <w:tblW w:w="1488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1985"/>
        <w:gridCol w:w="1984"/>
        <w:gridCol w:w="2693"/>
        <w:gridCol w:w="1418"/>
        <w:gridCol w:w="992"/>
        <w:gridCol w:w="1276"/>
        <w:gridCol w:w="850"/>
        <w:gridCol w:w="2552"/>
      </w:tblGrid>
      <w:tr w:rsidR="004F3F36" w:rsidRPr="00AC6D93" w:rsidTr="005E3F2A">
        <w:trPr>
          <w:trHeight w:val="1703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36" w:rsidRPr="005058F8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w 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oraz  delegowanych w trybie art. 77 § 1 usp na czas nieokreślony lub na czas określony orzekających w pełnym  i niepełnym wymiarze  </w:t>
            </w:r>
          </w:p>
          <w:p w:rsidR="004F3F36" w:rsidRPr="005E3F2A" w:rsidRDefault="004F3F36" w:rsidP="004F3F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oraz delegowanych w trybie art. 77 § 8 i 9 usp do danego sądu  </w:t>
            </w:r>
          </w:p>
        </w:tc>
        <w:tc>
          <w:tcPr>
            <w:tcW w:w="1984" w:type="dxa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cały okres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statystyczny w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niepełnym wymiarze etatu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z wyłączeniem sędziów funkcyjnych   oraz  delegowanych w trybie art. 77 § 1 usp na czas nieokreślony lub na czas określony orzekających w pełnym  i niepełnym wymiarze  oraz delegowanych w trybie art. 77 § 8 i 9 usp do danego sądu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58F8">
              <w:rPr>
                <w:rFonts w:ascii="Arial" w:hAnsi="Arial" w:cs="Arial"/>
                <w:sz w:val="12"/>
                <w:szCs w:val="12"/>
              </w:rPr>
              <w:t xml:space="preserve">Liczba sesji sędziów liniowych (niefunkcyjnych) danego sądu orzekających  </w:t>
            </w:r>
            <w:r w:rsidRPr="005058F8">
              <w:rPr>
                <w:rFonts w:ascii="Arial" w:hAnsi="Arial" w:cs="Arial"/>
                <w:sz w:val="12"/>
                <w:szCs w:val="12"/>
                <w:u w:val="single"/>
              </w:rPr>
              <w:t>przez część  okresu</w:t>
            </w:r>
            <w:r w:rsidRPr="005058F8">
              <w:rPr>
                <w:rFonts w:ascii="Arial" w:hAnsi="Arial" w:cs="Arial"/>
                <w:sz w:val="12"/>
                <w:szCs w:val="12"/>
              </w:rPr>
              <w:t xml:space="preserve"> statystycznego w pełnym lub niepełnym wymiarze etatu z wyłączeniem sędziów funkcyjnych  oraz  delegowanych w trybie art. 77 § 1 usp na czas nieokreślony lub na czas określony orzekających w pełnym i niepełnym wymiarze  oraz delegowanych w trybie art. 77 § 8 i 9 usp do danego sądu (w kolumnie tej wykazujemy również „wpadkowe” sesje sędziów danego sądu np. delegowanych do innych sądów w czasie trwania ich delegacji, a także „wpadkowe” sesje sędziów będących na etacie w innym wydziale danego sądu)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  funkcyjnych (danego sądu);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sędziowie orzekający w danym wydziale są wykazywani jako funkcyjni tylko w tym wydziale. Jeżeli orzekają dodatkowo w innych wydziałach to takich sędziów w innych wydziałach wykazujemy jako sędziów liniowych (niefunkcyjnych)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 xml:space="preserve">Liczba sesji sędziów delegowanych w trybie art. 77 § 1 usp na czas nieokreślony lub na czas określony </w:t>
            </w:r>
            <w:r w:rsidRPr="00EE60F0">
              <w:rPr>
                <w:rFonts w:ascii="Arial" w:hAnsi="Arial" w:cs="Arial"/>
                <w:sz w:val="12"/>
                <w:szCs w:val="12"/>
                <w:u w:val="single"/>
              </w:rPr>
              <w:t>orzekających w pełnym wymiarze</w:t>
            </w:r>
            <w:r w:rsidRPr="00EE60F0">
              <w:rPr>
                <w:rFonts w:ascii="Arial" w:hAnsi="Arial" w:cs="Arial"/>
                <w:sz w:val="12"/>
                <w:szCs w:val="12"/>
              </w:rPr>
              <w:t xml:space="preserve"> w danym sądzie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1 usp  orzekających w niepełnym wymiarze w danym sądzie (w tym sędziowie, którzy w czasie delegacji pełnią funkcje np. Prezesa i zgodnie z podziałem czynności mają zmniejszony zakres orzekania)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delegowanych w trybie art. 77 § 8 i 9 usp do  danego sądu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3F36" w:rsidRPr="00D20F36" w:rsidRDefault="004F3F36" w:rsidP="004F3F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60F0">
              <w:rPr>
                <w:rFonts w:ascii="Arial" w:hAnsi="Arial" w:cs="Arial"/>
                <w:sz w:val="12"/>
                <w:szCs w:val="12"/>
              </w:rPr>
              <w:t>Liczba sesji sędziów wykonujących czynności orzecznicze z mocy ustawy w danym sądzie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EE60F0">
              <w:rPr>
                <w:rFonts w:ascii="Arial" w:hAnsi="Arial" w:cs="Arial"/>
                <w:sz w:val="12"/>
                <w:szCs w:val="12"/>
              </w:rPr>
              <w:t>(art. 47 b usp), w tym sesje sędziów, którzy byli delegowani do danego sądu na podstawie art. 77 § 1 usp i kończą sprawy po zakończeniu delegacji w danym („naszym”) sądzie, a także sesje sędziów, którzy przenieśli się do innego sądu równorzędnego i kończą sprawy w danym („naszym”) sądzie. W przypadku, kiedy sędziowie otrzymali nominację do innego sądu w kolumnie tej wykazujemy sesje tych sędziów w sprawach, które kończyli w danym („naszym”) sądzie.</w:t>
            </w:r>
          </w:p>
        </w:tc>
      </w:tr>
      <w:tr w:rsidR="00F70C78" w:rsidRPr="00AC6D93" w:rsidTr="005E3F2A">
        <w:trPr>
          <w:trHeight w:val="81"/>
        </w:trPr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84" w:type="dxa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F70C78" w:rsidRPr="00F22D5F" w:rsidRDefault="00F70C78" w:rsidP="009339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2D5F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F70C78" w:rsidRPr="00AC6D93" w:rsidTr="005E3F2A">
        <w:trPr>
          <w:trHeight w:val="164"/>
        </w:trPr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Pr="00D20F36" w:rsidRDefault="00F70C78" w:rsidP="00F70C78">
            <w:pPr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Liczba sesji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Pr="00D20F36" w:rsidRDefault="00F70C78" w:rsidP="00F70C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0F3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194,000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33,000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65,000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70C78" w:rsidRDefault="00F70C78" w:rsidP="00F70C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70C78" w:rsidRPr="00BF2D29" w:rsidRDefault="00BF2D29" w:rsidP="00BF2D29">
      <w:pPr>
        <w:spacing w:after="40"/>
        <w:ind w:left="851"/>
        <w:outlineLvl w:val="0"/>
        <w:rPr>
          <w:rFonts w:ascii="Arial" w:hAnsi="Arial"/>
          <w:bCs/>
          <w:color w:val="000000"/>
          <w:sz w:val="14"/>
          <w:szCs w:val="14"/>
        </w:rPr>
      </w:pPr>
      <w:r w:rsidRPr="003437FC">
        <w:rPr>
          <w:rFonts w:ascii="Arial" w:hAnsi="Arial"/>
          <w:bCs/>
          <w:color w:val="000000"/>
          <w:sz w:val="14"/>
          <w:szCs w:val="14"/>
        </w:rPr>
        <w:t>Uwaga: W dziale „Liczba sesji” wykazujemy liczbę odbytych sesji z rozpraw i posiedzeń jawnych i niejawnych.</w:t>
      </w:r>
    </w:p>
    <w:p w:rsidR="00F70C78" w:rsidRDefault="00F70C7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F95AAF" w:rsidRPr="00F70C78" w:rsidRDefault="00966D0E" w:rsidP="00F70C78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t xml:space="preserve">Liczba </w:t>
            </w:r>
            <w:r w:rsidRPr="005C3127">
              <w:rPr>
                <w:rFonts w:ascii="Arial" w:hAnsi="Arial" w:cs="Arial"/>
                <w:color w:val="000000"/>
                <w:sz w:val="12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Obsada</w:t>
            </w:r>
            <w:r w:rsidRPr="005C3127">
              <w:rPr>
                <w:rFonts w:ascii="Arial" w:hAnsi="Arial" w:cs="Arial"/>
                <w:color w:val="000000"/>
                <w:sz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5C3127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1,940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9,130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10,000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1,360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C3127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Pr="005C3127" w:rsidRDefault="00DA160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F65136">
      <w:headerReference w:type="default" r:id="rId7"/>
      <w:footerReference w:type="default" r:id="rId8"/>
      <w:pgSz w:w="16838" w:h="11906" w:orient="landscape" w:code="9"/>
      <w:pgMar w:top="284" w:right="454" w:bottom="284" w:left="454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2E" w:rsidRDefault="008C282E">
      <w:r>
        <w:separator/>
      </w:r>
    </w:p>
  </w:endnote>
  <w:endnote w:type="continuationSeparator" w:id="0">
    <w:p w:rsidR="008C282E" w:rsidRDefault="008C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7E339B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7E339B" w:rsidRPr="0066488C">
      <w:rPr>
        <w:b/>
        <w:bCs/>
        <w:sz w:val="16"/>
        <w:szCs w:val="16"/>
      </w:rPr>
      <w:fldChar w:fldCharType="separate"/>
    </w:r>
    <w:r w:rsidR="00AA7399">
      <w:rPr>
        <w:b/>
        <w:bCs/>
        <w:noProof/>
        <w:sz w:val="16"/>
        <w:szCs w:val="16"/>
      </w:rPr>
      <w:t>1</w:t>
    </w:r>
    <w:r w:rsidR="007E339B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7E339B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7E339B" w:rsidRPr="0066488C">
      <w:rPr>
        <w:b/>
        <w:bCs/>
        <w:sz w:val="16"/>
        <w:szCs w:val="16"/>
      </w:rPr>
      <w:fldChar w:fldCharType="separate"/>
    </w:r>
    <w:r w:rsidR="00AA7399">
      <w:rPr>
        <w:b/>
        <w:bCs/>
        <w:noProof/>
        <w:sz w:val="16"/>
        <w:szCs w:val="16"/>
      </w:rPr>
      <w:t>2</w:t>
    </w:r>
    <w:r w:rsidR="007E339B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2E" w:rsidRDefault="008C282E">
      <w:r>
        <w:separator/>
      </w:r>
    </w:p>
  </w:footnote>
  <w:footnote w:type="continuationSeparator" w:id="0">
    <w:p w:rsidR="008C282E" w:rsidRDefault="008C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08.09.2023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5B6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8BE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4AE0"/>
    <w:rsid w:val="00135236"/>
    <w:rsid w:val="00136971"/>
    <w:rsid w:val="00136DAA"/>
    <w:rsid w:val="00141EE7"/>
    <w:rsid w:val="00141F0F"/>
    <w:rsid w:val="001422DF"/>
    <w:rsid w:val="0014391E"/>
    <w:rsid w:val="00144E2E"/>
    <w:rsid w:val="001456E6"/>
    <w:rsid w:val="00146652"/>
    <w:rsid w:val="00147D99"/>
    <w:rsid w:val="001507E5"/>
    <w:rsid w:val="00152588"/>
    <w:rsid w:val="00152B13"/>
    <w:rsid w:val="0015378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5CD8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9B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1426"/>
    <w:rsid w:val="002136D7"/>
    <w:rsid w:val="00214E8E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1982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C4E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0A2D"/>
    <w:rsid w:val="002A1231"/>
    <w:rsid w:val="002A20F2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31FA2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4641"/>
    <w:rsid w:val="00415A0D"/>
    <w:rsid w:val="004162BD"/>
    <w:rsid w:val="00417824"/>
    <w:rsid w:val="00421BA9"/>
    <w:rsid w:val="004258DB"/>
    <w:rsid w:val="00426AF3"/>
    <w:rsid w:val="004317E9"/>
    <w:rsid w:val="0043322A"/>
    <w:rsid w:val="004336C3"/>
    <w:rsid w:val="0043384C"/>
    <w:rsid w:val="00433DF9"/>
    <w:rsid w:val="00441300"/>
    <w:rsid w:val="0044214D"/>
    <w:rsid w:val="00442931"/>
    <w:rsid w:val="004433A0"/>
    <w:rsid w:val="00445207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57B30"/>
    <w:rsid w:val="00460BD6"/>
    <w:rsid w:val="00461ED5"/>
    <w:rsid w:val="00470E71"/>
    <w:rsid w:val="004740D9"/>
    <w:rsid w:val="00475585"/>
    <w:rsid w:val="0047716E"/>
    <w:rsid w:val="00480B57"/>
    <w:rsid w:val="00481450"/>
    <w:rsid w:val="0048754F"/>
    <w:rsid w:val="00490043"/>
    <w:rsid w:val="00490122"/>
    <w:rsid w:val="00490871"/>
    <w:rsid w:val="0049245C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3F36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3837"/>
    <w:rsid w:val="00524243"/>
    <w:rsid w:val="0052630B"/>
    <w:rsid w:val="00526E3F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81E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127"/>
    <w:rsid w:val="005C3484"/>
    <w:rsid w:val="005C48EF"/>
    <w:rsid w:val="005C71E5"/>
    <w:rsid w:val="005C765C"/>
    <w:rsid w:val="005D081A"/>
    <w:rsid w:val="005D20BF"/>
    <w:rsid w:val="005D2B7F"/>
    <w:rsid w:val="005D3E62"/>
    <w:rsid w:val="005D7507"/>
    <w:rsid w:val="005E0209"/>
    <w:rsid w:val="005E0743"/>
    <w:rsid w:val="005E2C26"/>
    <w:rsid w:val="005E3F2A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575CB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326C"/>
    <w:rsid w:val="006A5D00"/>
    <w:rsid w:val="006B1780"/>
    <w:rsid w:val="006B3053"/>
    <w:rsid w:val="006B39A0"/>
    <w:rsid w:val="006B3F45"/>
    <w:rsid w:val="006B4CA4"/>
    <w:rsid w:val="006B75C1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4D62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503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39B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17745"/>
    <w:rsid w:val="0082034A"/>
    <w:rsid w:val="00820597"/>
    <w:rsid w:val="00822D31"/>
    <w:rsid w:val="00823496"/>
    <w:rsid w:val="008237B1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282E"/>
    <w:rsid w:val="008C371C"/>
    <w:rsid w:val="008C7B9A"/>
    <w:rsid w:val="008D0049"/>
    <w:rsid w:val="008D0884"/>
    <w:rsid w:val="008D3572"/>
    <w:rsid w:val="008D3840"/>
    <w:rsid w:val="008D3F86"/>
    <w:rsid w:val="008D7157"/>
    <w:rsid w:val="008D7E6B"/>
    <w:rsid w:val="008E0CEF"/>
    <w:rsid w:val="008E4D53"/>
    <w:rsid w:val="008E5243"/>
    <w:rsid w:val="008E5E32"/>
    <w:rsid w:val="008E600D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22B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7E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3B94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C6193"/>
    <w:rsid w:val="009D04A3"/>
    <w:rsid w:val="009D1C5A"/>
    <w:rsid w:val="009D206E"/>
    <w:rsid w:val="009D28A6"/>
    <w:rsid w:val="009D2DD5"/>
    <w:rsid w:val="009D3F40"/>
    <w:rsid w:val="009D4DF3"/>
    <w:rsid w:val="009D4F96"/>
    <w:rsid w:val="009E10DB"/>
    <w:rsid w:val="009E271C"/>
    <w:rsid w:val="009E2E88"/>
    <w:rsid w:val="009E3F29"/>
    <w:rsid w:val="009E4116"/>
    <w:rsid w:val="009E6781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399"/>
    <w:rsid w:val="00AA7F92"/>
    <w:rsid w:val="00AB12C2"/>
    <w:rsid w:val="00AB1302"/>
    <w:rsid w:val="00AB5201"/>
    <w:rsid w:val="00AB6DF6"/>
    <w:rsid w:val="00AC0203"/>
    <w:rsid w:val="00AC0676"/>
    <w:rsid w:val="00AC09F1"/>
    <w:rsid w:val="00AC1EFE"/>
    <w:rsid w:val="00AC466F"/>
    <w:rsid w:val="00AC54CA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E6CD7"/>
    <w:rsid w:val="00AF011C"/>
    <w:rsid w:val="00AF21F3"/>
    <w:rsid w:val="00AF69EF"/>
    <w:rsid w:val="00B01739"/>
    <w:rsid w:val="00B017D3"/>
    <w:rsid w:val="00B03772"/>
    <w:rsid w:val="00B042F2"/>
    <w:rsid w:val="00B129A9"/>
    <w:rsid w:val="00B129AD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537"/>
    <w:rsid w:val="00B85C54"/>
    <w:rsid w:val="00B9045A"/>
    <w:rsid w:val="00B9179D"/>
    <w:rsid w:val="00B92093"/>
    <w:rsid w:val="00B920EC"/>
    <w:rsid w:val="00B94122"/>
    <w:rsid w:val="00B94193"/>
    <w:rsid w:val="00B943B7"/>
    <w:rsid w:val="00B94798"/>
    <w:rsid w:val="00BA0325"/>
    <w:rsid w:val="00BA0991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646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2D29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29E5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1AE3"/>
    <w:rsid w:val="00C96DAF"/>
    <w:rsid w:val="00CA2470"/>
    <w:rsid w:val="00CA273F"/>
    <w:rsid w:val="00CA31D8"/>
    <w:rsid w:val="00CA32E5"/>
    <w:rsid w:val="00CA367C"/>
    <w:rsid w:val="00CA3721"/>
    <w:rsid w:val="00CA478E"/>
    <w:rsid w:val="00CA5152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5EB4"/>
    <w:rsid w:val="00D17970"/>
    <w:rsid w:val="00D17B64"/>
    <w:rsid w:val="00D23714"/>
    <w:rsid w:val="00D24190"/>
    <w:rsid w:val="00D30BFD"/>
    <w:rsid w:val="00D3105C"/>
    <w:rsid w:val="00D31750"/>
    <w:rsid w:val="00D341D2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0D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0F6"/>
    <w:rsid w:val="00E51A0A"/>
    <w:rsid w:val="00E548FD"/>
    <w:rsid w:val="00E55E92"/>
    <w:rsid w:val="00E5747E"/>
    <w:rsid w:val="00E6107B"/>
    <w:rsid w:val="00E61144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75152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3E39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179C2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136"/>
    <w:rsid w:val="00F65B28"/>
    <w:rsid w:val="00F66514"/>
    <w:rsid w:val="00F67726"/>
    <w:rsid w:val="00F67F3B"/>
    <w:rsid w:val="00F70C73"/>
    <w:rsid w:val="00F70C78"/>
    <w:rsid w:val="00F721C1"/>
    <w:rsid w:val="00F733B6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A5B42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comments/2020/reaction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8596-A99F-4C1A-B11C-E4611188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  <w:style w:type="paragraph" w:customStyle="1" w:styleId="Default">
    <w:name w:val="Default"/>
    <w:rsid w:val="00960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Wojtas Magdalena</cp:lastModifiedBy>
  <cp:revision>2</cp:revision>
  <cp:lastPrinted>2018-06-12T07:26:00Z</cp:lastPrinted>
  <dcterms:created xsi:type="dcterms:W3CDTF">2023-09-08T07:12:00Z</dcterms:created>
  <dcterms:modified xsi:type="dcterms:W3CDTF">2023-09-08T07:12:00Z</dcterms:modified>
</cp:coreProperties>
</file>